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5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  <w:gridCol w:w="45"/>
      </w:tblGrid>
      <w:tr w:rsidR="00E05637" w:rsidRPr="00E05637" w:rsidTr="00F24CF1">
        <w:trPr>
          <w:gridAfter w:val="1"/>
          <w:tblCellSpacing w:w="15" w:type="dxa"/>
        </w:trPr>
        <w:tc>
          <w:tcPr>
            <w:tcW w:w="8445" w:type="dxa"/>
            <w:shd w:val="clear" w:color="auto" w:fill="FFFFFF"/>
            <w:vAlign w:val="center"/>
            <w:hideMark/>
          </w:tcPr>
          <w:p w:rsidR="00E05637" w:rsidRPr="00E05637" w:rsidRDefault="00E05637" w:rsidP="00F24CF1">
            <w:pPr>
              <w:rPr>
                <w:b/>
                <w:bCs/>
              </w:rPr>
            </w:pPr>
          </w:p>
        </w:tc>
      </w:tr>
      <w:tr w:rsidR="00E05637" w:rsidRPr="00F24CF1" w:rsidTr="00E05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05637" w:rsidRPr="00F24CF1" w:rsidRDefault="0006342C" w:rsidP="00F24CF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26.03.20 г. </w:t>
            </w:r>
            <w:bookmarkStart w:id="0" w:name="_GoBack"/>
            <w:bookmarkEnd w:id="0"/>
            <w:r w:rsidR="00F24CF1" w:rsidRPr="00F24CF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Лекция: Пищевые и биологически активные добавки. Определение и классификация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  <w:b/>
                <w:bCs/>
              </w:rPr>
            </w:pPr>
            <w:r w:rsidRPr="00F24CF1">
              <w:rPr>
                <w:rFonts w:ascii="Times New Roman" w:hAnsi="Times New Roman" w:cs="Times New Roman"/>
                <w:b/>
                <w:bCs/>
              </w:rPr>
              <w:t>Общая характеристика пищевых добавок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proofErr w:type="gramStart"/>
            <w:r w:rsidRPr="00F24CF1">
              <w:rPr>
                <w:rFonts w:ascii="Times New Roman" w:hAnsi="Times New Roman" w:cs="Times New Roman"/>
              </w:rPr>
              <w:t>К пищевым добавкам относят натуральные или идентичные натуральным синтетические вещества, вводимые в пищевые продукты в процессе их производства с чисто технологическими целями.</w:t>
            </w:r>
            <w:proofErr w:type="gramEnd"/>
            <w:r w:rsidRPr="00F24CF1">
              <w:rPr>
                <w:rFonts w:ascii="Times New Roman" w:hAnsi="Times New Roman" w:cs="Times New Roman"/>
              </w:rPr>
              <w:t xml:space="preserve"> Например, для удлинения сроков хранения пищи (консерванты), ускорения технологического процесса при ее производстве (ферменты), придания продуктам определенного цвета (красители), запаха (</w:t>
            </w:r>
            <w:proofErr w:type="spellStart"/>
            <w:r w:rsidRPr="00F24CF1">
              <w:rPr>
                <w:rFonts w:ascii="Times New Roman" w:hAnsi="Times New Roman" w:cs="Times New Roman"/>
              </w:rPr>
              <w:t>ароматизаторы</w:t>
            </w:r>
            <w:proofErr w:type="spellEnd"/>
            <w:r w:rsidRPr="00F24CF1">
              <w:rPr>
                <w:rFonts w:ascii="Times New Roman" w:hAnsi="Times New Roman" w:cs="Times New Roman"/>
              </w:rPr>
              <w:t xml:space="preserve">), консистенции (загустители, </w:t>
            </w:r>
            <w:proofErr w:type="spellStart"/>
            <w:r w:rsidRPr="00F24CF1">
              <w:rPr>
                <w:rFonts w:ascii="Times New Roman" w:hAnsi="Times New Roman" w:cs="Times New Roman"/>
              </w:rPr>
              <w:t>желеобразователи</w:t>
            </w:r>
            <w:proofErr w:type="spellEnd"/>
            <w:r w:rsidRPr="00F24CF1">
              <w:rPr>
                <w:rFonts w:ascii="Times New Roman" w:hAnsi="Times New Roman" w:cs="Times New Roman"/>
              </w:rPr>
              <w:t xml:space="preserve">). </w:t>
            </w:r>
            <w:proofErr w:type="gramStart"/>
            <w:r w:rsidRPr="00F24CF1">
              <w:rPr>
                <w:rFonts w:ascii="Times New Roman" w:hAnsi="Times New Roman" w:cs="Times New Roman"/>
              </w:rPr>
              <w:t>Среди них есть вещества, препятствующие слеживанию (муки, сахара и т.п. продукты), эмульгаторы и стабилизаторы (при производстве майонеза, мороженого), вещества, препятствующие окислению жира при его хранении (антиокислители), отбеливатели (муки), заменители сахара, усилители вкуса и т.д.</w:t>
            </w:r>
            <w:proofErr w:type="gramEnd"/>
            <w:r w:rsidRPr="00F24CF1">
              <w:rPr>
                <w:rFonts w:ascii="Times New Roman" w:hAnsi="Times New Roman" w:cs="Times New Roman"/>
              </w:rPr>
              <w:t xml:space="preserve"> Пищевые добавки, как правило, не имеют пищевого значения, т.е. они не участвуют в обмене веществ, построении тканей органов и систем. Они для обмена веществ нейтральны.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Согласно определению ВОЗ, пищевые добавки - это химические вещества и природные соединения, которые сами по себе не употребляются в пищу, а добавляются в нее для улучшения качества сырья и готовой продукции. В отличие от пищевых добавок, биологически активные добавки к пище служат для изменения структуры питания человека и коррекции его здоровья.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 xml:space="preserve">Любая из пищевых добавок, прежде чем попасть в продукт питания проходит многолетние экспериментальные исследования на разных видах животных и их потомстве на ее безопасность для человека. Для этого применяют специальные схемы исследований. И только в тех случаях, когда современные методы не </w:t>
            </w:r>
            <w:proofErr w:type="gramStart"/>
            <w:r w:rsidRPr="00F24CF1">
              <w:rPr>
                <w:rFonts w:ascii="Times New Roman" w:hAnsi="Times New Roman" w:cs="Times New Roman"/>
              </w:rPr>
              <w:t>выявляют каких бы то ни было</w:t>
            </w:r>
            <w:proofErr w:type="gramEnd"/>
            <w:r w:rsidRPr="00F24CF1">
              <w:rPr>
                <w:rFonts w:ascii="Times New Roman" w:hAnsi="Times New Roman" w:cs="Times New Roman"/>
              </w:rPr>
              <w:t xml:space="preserve"> отклонений в здоровье животных и человека, пищевая добавка разрешается для применения. При этом допустимая ее доза в составе продукта уменьшается еще не менее чем в 100 раз, т.е. предусматривается 100%-я гарантия безопасности продукта с пищевой добавкой даже в тех случаях, если он будет употребляться в пищу каждый день в течение всей жизни, т.е. 70-80 лет.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proofErr w:type="gramStart"/>
            <w:r w:rsidRPr="00F24CF1">
              <w:rPr>
                <w:rFonts w:ascii="Times New Roman" w:hAnsi="Times New Roman" w:cs="Times New Roman"/>
              </w:rPr>
              <w:t xml:space="preserve">Химические названия пищевых добавок зачастую слишком громоздки, нечитабельны и трудно произносимы (например, </w:t>
            </w:r>
            <w:proofErr w:type="spellStart"/>
            <w:r w:rsidRPr="00F24CF1">
              <w:rPr>
                <w:rFonts w:ascii="Times New Roman" w:hAnsi="Times New Roman" w:cs="Times New Roman"/>
              </w:rPr>
              <w:t>гидроксипропилметилцеллюлоза</w:t>
            </w:r>
            <w:proofErr w:type="spellEnd"/>
            <w:r w:rsidRPr="00F24C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4CF1">
              <w:rPr>
                <w:rFonts w:ascii="Times New Roman" w:hAnsi="Times New Roman" w:cs="Times New Roman"/>
              </w:rPr>
              <w:t>поливинилполипирролидон</w:t>
            </w:r>
            <w:proofErr w:type="spellEnd"/>
            <w:r w:rsidRPr="00F24C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4CF1">
              <w:rPr>
                <w:rFonts w:ascii="Times New Roman" w:hAnsi="Times New Roman" w:cs="Times New Roman"/>
              </w:rPr>
              <w:t>пропиленгликольальгинат</w:t>
            </w:r>
            <w:proofErr w:type="spellEnd"/>
            <w:r w:rsidRPr="00F24CF1">
              <w:rPr>
                <w:rFonts w:ascii="Times New Roman" w:hAnsi="Times New Roman" w:cs="Times New Roman"/>
              </w:rPr>
              <w:t xml:space="preserve"> и т.д.), кроме того, в разных странах одни и те же добавки могут иметь разные торговые названия, что затрудняет экспертизу документации, усложняет контроль за содержанием пищевых добавок в готовом продовольствии, существенно удлиняет время для принятия решений.</w:t>
            </w:r>
            <w:proofErr w:type="gramEnd"/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Именно поэтому в качестве альтернативы химическим или традиционным названиям пищевых добавок Европейским советом была разработана и в странах Европейского сообщества апробирована система цифровой кодификации пищевых добавок. При этом любая пищевая добавка обозначается буквой «Е» (Европейская) и имеет свое определенное цифровое обозначение.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Согласно системе «</w:t>
            </w:r>
            <w:proofErr w:type="spellStart"/>
            <w:proofErr w:type="gramStart"/>
            <w:r w:rsidRPr="00F24CF1">
              <w:rPr>
                <w:rFonts w:ascii="Times New Roman" w:hAnsi="Times New Roman" w:cs="Times New Roman"/>
              </w:rPr>
              <w:t>Со</w:t>
            </w:r>
            <w:proofErr w:type="gramEnd"/>
            <w:r w:rsidRPr="00F24CF1">
              <w:rPr>
                <w:rFonts w:ascii="Times New Roman" w:hAnsi="Times New Roman" w:cs="Times New Roman"/>
              </w:rPr>
              <w:t>dex</w:t>
            </w:r>
            <w:proofErr w:type="spellEnd"/>
            <w:r w:rsidRPr="00F24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4CF1">
              <w:rPr>
                <w:rFonts w:ascii="Times New Roman" w:hAnsi="Times New Roman" w:cs="Times New Roman"/>
              </w:rPr>
              <w:t>Аlimentarius</w:t>
            </w:r>
            <w:proofErr w:type="spellEnd"/>
            <w:r w:rsidRPr="00F24CF1">
              <w:rPr>
                <w:rFonts w:ascii="Times New Roman" w:hAnsi="Times New Roman" w:cs="Times New Roman"/>
              </w:rPr>
              <w:t>», классификация пищевых добавок производится по их назначению: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lastRenderedPageBreak/>
              <w:t>Е 100 - Е 182 - красители;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Е 200 и далее - консерванты;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Е 300 и далее - антиокислители (антиоксиданты);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Е 400 и далее - эмульгаторы;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Е 600 и далее - усилители вкуса и аромата;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Е 700 - Е 800 - запасные индексы для другой возможной информации;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 xml:space="preserve">Е 900 и далее - </w:t>
            </w:r>
            <w:proofErr w:type="spellStart"/>
            <w:r w:rsidRPr="00F24CF1">
              <w:rPr>
                <w:rFonts w:ascii="Times New Roman" w:hAnsi="Times New Roman" w:cs="Times New Roman"/>
              </w:rPr>
              <w:t>антифламинги</w:t>
            </w:r>
            <w:proofErr w:type="spellEnd"/>
            <w:r w:rsidRPr="00F24CF1">
              <w:rPr>
                <w:rFonts w:ascii="Times New Roman" w:hAnsi="Times New Roman" w:cs="Times New Roman"/>
              </w:rPr>
              <w:t>, противопенные вещества;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Е 1000 - глазирующие агенты, подсластители, добавки, препятствующие слеживанию сахара, соли, для обработки муки, крахмала и т. д.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Важнейшим механизмом обеспечения контроля качества и безопасности питания является гигиеническая сертификация.</w:t>
            </w:r>
            <w:r w:rsidR="00F24CF1">
              <w:rPr>
                <w:rFonts w:ascii="Times New Roman" w:hAnsi="Times New Roman" w:cs="Times New Roman"/>
              </w:rPr>
              <w:t xml:space="preserve"> </w:t>
            </w:r>
            <w:r w:rsidRPr="00F24CF1">
              <w:rPr>
                <w:rFonts w:ascii="Times New Roman" w:hAnsi="Times New Roman" w:cs="Times New Roman"/>
              </w:rPr>
              <w:t xml:space="preserve">Пищевые добавки, как и любой продукт импортного и отечественного производства, обязаны пройти гигиеническую сертификацию. До 1992 г. Россия относилась к тем немногим экономически развитым странам, где общегосударственная система сертификации отсутствовала. И только в 1993 г. был принят Закон «О сертификации продукции и услуг», согласно </w:t>
            </w:r>
            <w:proofErr w:type="gramStart"/>
            <w:r w:rsidRPr="00F24CF1">
              <w:rPr>
                <w:rFonts w:ascii="Times New Roman" w:hAnsi="Times New Roman" w:cs="Times New Roman"/>
              </w:rPr>
              <w:t>которому</w:t>
            </w:r>
            <w:proofErr w:type="gramEnd"/>
            <w:r w:rsidRPr="00F24CF1">
              <w:rPr>
                <w:rFonts w:ascii="Times New Roman" w:hAnsi="Times New Roman" w:cs="Times New Roman"/>
              </w:rPr>
              <w:t xml:space="preserve"> изготовитель несет ответственность за качество и безопасность производимой им продукции. В Законе оговорены механизмы защиты прав потребителей и обеспечения интересов государства.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Среди основных целей сертификации можно выделить следующие положения: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1. создание условий для деятельности предприятий и предпринимателей на едином товарном рынке Российской Федерации; обеспечение возможности их работы на международном уровне.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2. обеспечение защиты потребителей от возможности проникновения на рынок не доброкачественных товаров;</w:t>
            </w:r>
          </w:p>
          <w:p w:rsidR="00E05637" w:rsidRPr="00F24CF1" w:rsidRDefault="00E05637" w:rsidP="00F24CF1">
            <w:pPr>
              <w:rPr>
                <w:rFonts w:ascii="Times New Roman" w:hAnsi="Times New Roman" w:cs="Times New Roman"/>
              </w:rPr>
            </w:pPr>
            <w:r w:rsidRPr="00F24CF1">
              <w:rPr>
                <w:rFonts w:ascii="Times New Roman" w:hAnsi="Times New Roman" w:cs="Times New Roman"/>
              </w:rPr>
              <w:t>3. обеспечение качества и безопасности продукции для населения и окружающей среды.</w:t>
            </w:r>
          </w:p>
          <w:p w:rsidR="001862E4" w:rsidRPr="00F24CF1" w:rsidRDefault="001862E4" w:rsidP="00F24CF1">
            <w:pPr>
              <w:rPr>
                <w:rFonts w:ascii="Times New Roman" w:hAnsi="Times New Roman" w:cs="Times New Roman"/>
              </w:rPr>
            </w:pPr>
          </w:p>
        </w:tc>
      </w:tr>
    </w:tbl>
    <w:p w:rsidR="00E05637" w:rsidRPr="00F24CF1" w:rsidRDefault="00F24CF1" w:rsidP="00F24CF1">
      <w:pPr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  <w:b/>
          <w:bCs/>
        </w:rPr>
        <w:lastRenderedPageBreak/>
        <w:t>Биологически активные добавки (БАД) к пище</w:t>
      </w:r>
      <w:r w:rsidRPr="00F24CF1">
        <w:rPr>
          <w:rFonts w:ascii="Times New Roman" w:hAnsi="Times New Roman" w:cs="Times New Roman"/>
        </w:rPr>
        <w:t> — биологически активные вещества и их композиции, предназначенные для непосредственного приёма с пищей  или введения в состав пищевых продуктов. Они используются как дополнительный источник пищевых и биологически активных веществ, для оптимизации различных видов обмена веществ, нормализации и/или улучшения функционального состояния органов и систем, снижения риска заболеваний, нормализации микрофлоры желудочно-кишечного тракта и в качестве </w:t>
      </w:r>
      <w:proofErr w:type="spellStart"/>
      <w:r w:rsidRPr="00F24CF1">
        <w:rPr>
          <w:rFonts w:ascii="Times New Roman" w:hAnsi="Times New Roman" w:cs="Times New Roman"/>
        </w:rPr>
        <w:t>энтеросорбентов</w:t>
      </w:r>
      <w:proofErr w:type="spellEnd"/>
      <w:r w:rsidRPr="00F24CF1">
        <w:rPr>
          <w:rFonts w:ascii="Times New Roman" w:hAnsi="Times New Roman" w:cs="Times New Roman"/>
        </w:rPr>
        <w:t>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Существуют различные классификации БАД в зависимости от их состава, функциональной активности, эффектов действия и др.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По составу БАД подразделяются на следующие группы: </w:t>
      </w:r>
      <w:proofErr w:type="spellStart"/>
      <w:r w:rsidRPr="00F24CF1">
        <w:rPr>
          <w:rFonts w:ascii="Times New Roman" w:hAnsi="Times New Roman" w:cs="Times New Roman"/>
          <w:b/>
          <w:bCs/>
        </w:rPr>
        <w:t>нутрицевтики</w:t>
      </w:r>
      <w:proofErr w:type="spellEnd"/>
      <w:r w:rsidRPr="00F24CF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24CF1">
        <w:rPr>
          <w:rFonts w:ascii="Times New Roman" w:hAnsi="Times New Roman" w:cs="Times New Roman"/>
          <w:b/>
          <w:bCs/>
        </w:rPr>
        <w:t>парафармацевтики</w:t>
      </w:r>
      <w:proofErr w:type="spellEnd"/>
      <w:r w:rsidRPr="00F24CF1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F24CF1">
        <w:rPr>
          <w:rFonts w:ascii="Times New Roman" w:hAnsi="Times New Roman" w:cs="Times New Roman"/>
          <w:b/>
          <w:bCs/>
        </w:rPr>
        <w:t>эубиотики</w:t>
      </w:r>
      <w:proofErr w:type="spellEnd"/>
      <w:r w:rsidRPr="00F24CF1">
        <w:rPr>
          <w:rFonts w:ascii="Times New Roman" w:hAnsi="Times New Roman" w:cs="Times New Roman"/>
          <w:b/>
          <w:bCs/>
        </w:rPr>
        <w:t>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proofErr w:type="spellStart"/>
      <w:r w:rsidRPr="00F24CF1">
        <w:rPr>
          <w:rFonts w:ascii="Times New Roman" w:hAnsi="Times New Roman" w:cs="Times New Roman"/>
          <w:b/>
          <w:bCs/>
        </w:rPr>
        <w:t>Нутрицевтики</w:t>
      </w:r>
      <w:proofErr w:type="spellEnd"/>
      <w:r w:rsidRPr="00F24CF1">
        <w:rPr>
          <w:rFonts w:ascii="Times New Roman" w:hAnsi="Times New Roman" w:cs="Times New Roman"/>
          <w:b/>
          <w:bCs/>
        </w:rPr>
        <w:t> </w:t>
      </w:r>
      <w:r w:rsidRPr="00F24CF1">
        <w:rPr>
          <w:rFonts w:ascii="Times New Roman" w:hAnsi="Times New Roman" w:cs="Times New Roman"/>
        </w:rPr>
        <w:t>- биологически активные добавки к пище, применяемые для коррекции химического состава пищи человека.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proofErr w:type="spellStart"/>
      <w:r w:rsidRPr="00F24CF1">
        <w:rPr>
          <w:rFonts w:ascii="Times New Roman" w:hAnsi="Times New Roman" w:cs="Times New Roman"/>
        </w:rPr>
        <w:lastRenderedPageBreak/>
        <w:t>Нутрицевтики</w:t>
      </w:r>
      <w:proofErr w:type="spellEnd"/>
      <w:r w:rsidRPr="00F24CF1">
        <w:rPr>
          <w:rFonts w:ascii="Times New Roman" w:hAnsi="Times New Roman" w:cs="Times New Roman"/>
        </w:rPr>
        <w:t xml:space="preserve"> - это незаменимые пищевые вещества или их близкие предшественники. Эту группу БАД можно со всеми основаниями причислить к пище, поскольку она в большинстве случаев представлена хорошо изученными естественными ее компонентами, физиологическая потребность и биологическая роль которых </w:t>
      </w:r>
      <w:proofErr w:type="gramStart"/>
      <w:r w:rsidRPr="00F24CF1">
        <w:rPr>
          <w:rFonts w:ascii="Times New Roman" w:hAnsi="Times New Roman" w:cs="Times New Roman"/>
        </w:rPr>
        <w:t>установлены</w:t>
      </w:r>
      <w:proofErr w:type="gramEnd"/>
      <w:r w:rsidRPr="00F24CF1">
        <w:rPr>
          <w:rFonts w:ascii="Times New Roman" w:hAnsi="Times New Roman" w:cs="Times New Roman"/>
        </w:rPr>
        <w:t xml:space="preserve">. К </w:t>
      </w:r>
      <w:proofErr w:type="spellStart"/>
      <w:r w:rsidRPr="00F24CF1">
        <w:rPr>
          <w:rFonts w:ascii="Times New Roman" w:hAnsi="Times New Roman" w:cs="Times New Roman"/>
        </w:rPr>
        <w:t>нутрицевтическим</w:t>
      </w:r>
      <w:proofErr w:type="spellEnd"/>
      <w:r w:rsidRPr="00F24CF1">
        <w:rPr>
          <w:rFonts w:ascii="Times New Roman" w:hAnsi="Times New Roman" w:cs="Times New Roman"/>
        </w:rPr>
        <w:t xml:space="preserve"> средствам относятся: витамины, провитамины, макр</w:t>
      </w:r>
      <w:proofErr w:type="gramStart"/>
      <w:r w:rsidRPr="00F24CF1">
        <w:rPr>
          <w:rFonts w:ascii="Times New Roman" w:hAnsi="Times New Roman" w:cs="Times New Roman"/>
        </w:rPr>
        <w:t>о-</w:t>
      </w:r>
      <w:proofErr w:type="gramEnd"/>
      <w:r w:rsidRPr="00F24CF1">
        <w:rPr>
          <w:rFonts w:ascii="Times New Roman" w:hAnsi="Times New Roman" w:cs="Times New Roman"/>
        </w:rPr>
        <w:t xml:space="preserve"> микроэлементы, полиненасыщенные жирные кислоты, аминокислоты, углеводы, пищевые волокна.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Использование </w:t>
      </w:r>
      <w:proofErr w:type="spellStart"/>
      <w:r w:rsidRPr="00F24CF1">
        <w:rPr>
          <w:rFonts w:ascii="Times New Roman" w:hAnsi="Times New Roman" w:cs="Times New Roman"/>
          <w:b/>
          <w:bCs/>
        </w:rPr>
        <w:t>нутрицевтиков</w:t>
      </w:r>
      <w:proofErr w:type="spellEnd"/>
      <w:r w:rsidRPr="00F24CF1">
        <w:rPr>
          <w:rFonts w:ascii="Times New Roman" w:hAnsi="Times New Roman" w:cs="Times New Roman"/>
        </w:rPr>
        <w:t> в повседневном питании больных и здоровых людей позволяет: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· легко и быстро устранить недостаток </w:t>
      </w:r>
      <w:proofErr w:type="spellStart"/>
      <w:r w:rsidRPr="00F24CF1">
        <w:rPr>
          <w:rFonts w:ascii="Times New Roman" w:hAnsi="Times New Roman" w:cs="Times New Roman"/>
        </w:rPr>
        <w:t>эссенциальных</w:t>
      </w:r>
      <w:proofErr w:type="spellEnd"/>
      <w:r w:rsidRPr="00F24CF1">
        <w:rPr>
          <w:rFonts w:ascii="Times New Roman" w:hAnsi="Times New Roman" w:cs="Times New Roman"/>
        </w:rPr>
        <w:t xml:space="preserve"> пищевых веществ, который повсеместно выявляется у большинства взрослого и детского населения;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максимально учесть в питании конкретного человека индивидуальные потребности, которые значительно отличаются не только по возрасту, полу, интенсивности физических нагрузок, но и вследствие генетически детерминированных особенностей метаболизма отдельного индивидуума, его биоритмов, экологических условий региона обитания, физиологических состояний - беременность, психоэмоциональный стресс и т.д.;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максимально обеспечить измененные физиологические потребности в пищевых веществах больного человека, обойти поврежденные заболеванием участки метаболических путей, а иногда - осуществить их коррекцию;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за счет усиления элементов защиты клеточных ферментных систем повысить общую, неспецифическую резистентность организма к действию неблагоприятных факторов окружающей среды у населения, проживающего как в экологически чистых, так и в экологически неблагополучных регионах;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· </w:t>
      </w:r>
      <w:proofErr w:type="gramStart"/>
      <w:r w:rsidRPr="00F24CF1">
        <w:rPr>
          <w:rFonts w:ascii="Times New Roman" w:hAnsi="Times New Roman" w:cs="Times New Roman"/>
        </w:rPr>
        <w:t>воздействовать</w:t>
      </w:r>
      <w:proofErr w:type="gramEnd"/>
      <w:r w:rsidRPr="00F24CF1">
        <w:rPr>
          <w:rFonts w:ascii="Times New Roman" w:hAnsi="Times New Roman" w:cs="Times New Roman"/>
        </w:rPr>
        <w:t xml:space="preserve"> прежде всего на ферментные системы, направленно изменять метаболизм отдельных веществ, в частности, </w:t>
      </w:r>
      <w:proofErr w:type="spellStart"/>
      <w:r w:rsidRPr="00F24CF1">
        <w:rPr>
          <w:rFonts w:ascii="Times New Roman" w:hAnsi="Times New Roman" w:cs="Times New Roman"/>
        </w:rPr>
        <w:t>ксенобиотиков</w:t>
      </w:r>
      <w:proofErr w:type="spellEnd"/>
      <w:r w:rsidRPr="00F24CF1">
        <w:rPr>
          <w:rFonts w:ascii="Times New Roman" w:hAnsi="Times New Roman" w:cs="Times New Roman"/>
        </w:rPr>
        <w:t>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усиливать и ускорять связывание и выведение из организма чужеродных и токсических веществ.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Таким образом, использование </w:t>
      </w:r>
      <w:proofErr w:type="spellStart"/>
      <w:r w:rsidRPr="00F24CF1">
        <w:rPr>
          <w:rFonts w:ascii="Times New Roman" w:hAnsi="Times New Roman" w:cs="Times New Roman"/>
        </w:rPr>
        <w:t>нутрицевтиков</w:t>
      </w:r>
      <w:proofErr w:type="spellEnd"/>
      <w:r w:rsidRPr="00F24CF1">
        <w:rPr>
          <w:rFonts w:ascii="Times New Roman" w:hAnsi="Times New Roman" w:cs="Times New Roman"/>
        </w:rPr>
        <w:t xml:space="preserve"> является эффективным средством профилактики, а также дополнительного (а иногда, и основного) лечения больных при широко распространенных хронических заболеваниях, как ожирение, сахарный диабет, </w:t>
      </w:r>
      <w:proofErr w:type="gramStart"/>
      <w:r w:rsidRPr="00F24CF1">
        <w:rPr>
          <w:rFonts w:ascii="Times New Roman" w:hAnsi="Times New Roman" w:cs="Times New Roman"/>
        </w:rPr>
        <w:t>сердечно-сосудистые</w:t>
      </w:r>
      <w:proofErr w:type="gramEnd"/>
      <w:r w:rsidRPr="00F24CF1">
        <w:rPr>
          <w:rFonts w:ascii="Times New Roman" w:hAnsi="Times New Roman" w:cs="Times New Roman"/>
        </w:rPr>
        <w:t xml:space="preserve"> заболевания, злокачественные новообразования, </w:t>
      </w:r>
      <w:proofErr w:type="spellStart"/>
      <w:r w:rsidRPr="00F24CF1">
        <w:rPr>
          <w:rFonts w:ascii="Times New Roman" w:hAnsi="Times New Roman" w:cs="Times New Roman"/>
        </w:rPr>
        <w:t>иммунодефицитные</w:t>
      </w:r>
      <w:proofErr w:type="spellEnd"/>
      <w:r w:rsidRPr="00F24CF1">
        <w:rPr>
          <w:rFonts w:ascii="Times New Roman" w:hAnsi="Times New Roman" w:cs="Times New Roman"/>
        </w:rPr>
        <w:t xml:space="preserve"> состояния, заболевания желудочно-кишечного тракта, дегенеративные заболевания опорно-двигательного аппарата.</w:t>
      </w:r>
    </w:p>
    <w:p w:rsidR="00E05637" w:rsidRPr="00F24CF1" w:rsidRDefault="00E05637" w:rsidP="00F24CF1">
      <w:pPr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В соответствии с классификацией Госкомсанэпиднадзора РФ (1996) по составу БАД-</w:t>
      </w:r>
      <w:proofErr w:type="spellStart"/>
      <w:r w:rsidRPr="00F24CF1">
        <w:rPr>
          <w:rFonts w:ascii="Times New Roman" w:hAnsi="Times New Roman" w:cs="Times New Roman"/>
        </w:rPr>
        <w:t>нутрицевтики</w:t>
      </w:r>
      <w:proofErr w:type="spellEnd"/>
      <w:r w:rsidRPr="00F24CF1">
        <w:rPr>
          <w:rFonts w:ascii="Times New Roman" w:hAnsi="Times New Roman" w:cs="Times New Roman"/>
        </w:rPr>
        <w:t xml:space="preserve"> делятся на следующие группы: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1. Источники преимущественно белка и аминокислот.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2. Источники преимущественно жирных кислот, липидов и жирорастворимых витаминов (на основе растительных масел или рыбьего жира).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3. Источники преимущественно углеводов и сахаров.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4. Источники преимущественно пищевых волокон (пектины, отруби, растительная клетчатка, микрокристаллическая целлюлоза и др.).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5. Источники преимущественно  водорастворимых витаминов.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lastRenderedPageBreak/>
        <w:t>6. Источники преимущественно макро- и микроэлементов.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proofErr w:type="spellStart"/>
      <w:r w:rsidRPr="00F24CF1">
        <w:rPr>
          <w:rFonts w:ascii="Times New Roman" w:hAnsi="Times New Roman" w:cs="Times New Roman"/>
          <w:b/>
          <w:bCs/>
        </w:rPr>
        <w:t>Парафармацевтики</w:t>
      </w:r>
      <w:proofErr w:type="spellEnd"/>
      <w:r w:rsidRPr="00F24CF1">
        <w:rPr>
          <w:rFonts w:ascii="Times New Roman" w:hAnsi="Times New Roman" w:cs="Times New Roman"/>
          <w:b/>
          <w:bCs/>
        </w:rPr>
        <w:t> </w:t>
      </w:r>
      <w:r w:rsidRPr="00F24CF1">
        <w:rPr>
          <w:rFonts w:ascii="Times New Roman" w:hAnsi="Times New Roman" w:cs="Times New Roman"/>
        </w:rPr>
        <w:t>- биологически активные добавки к пище, применяемые для профилактики, вспомогательной терапии и поддержки в физиологических границах функциональной активности органов и систем.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proofErr w:type="gramStart"/>
      <w:r w:rsidRPr="00F24CF1">
        <w:rPr>
          <w:rFonts w:ascii="Times New Roman" w:hAnsi="Times New Roman" w:cs="Times New Roman"/>
        </w:rPr>
        <w:t xml:space="preserve">Это, как правило, продукты, содержащие минорные компоненты пищи - биофлавоноиды, органические кислоты, гликозиды, биогенные амины, регуляторные </w:t>
      </w:r>
      <w:proofErr w:type="spellStart"/>
      <w:r w:rsidRPr="00F24CF1">
        <w:rPr>
          <w:rFonts w:ascii="Times New Roman" w:hAnsi="Times New Roman" w:cs="Times New Roman"/>
        </w:rPr>
        <w:t>олигопептиды</w:t>
      </w:r>
      <w:proofErr w:type="spellEnd"/>
      <w:r w:rsidRPr="00F24CF1">
        <w:rPr>
          <w:rFonts w:ascii="Times New Roman" w:hAnsi="Times New Roman" w:cs="Times New Roman"/>
        </w:rPr>
        <w:t xml:space="preserve">, полисахариды, </w:t>
      </w:r>
      <w:proofErr w:type="spellStart"/>
      <w:r w:rsidRPr="00F24CF1">
        <w:rPr>
          <w:rFonts w:ascii="Times New Roman" w:hAnsi="Times New Roman" w:cs="Times New Roman"/>
        </w:rPr>
        <w:t>олигосахара</w:t>
      </w:r>
      <w:proofErr w:type="spellEnd"/>
      <w:r w:rsidRPr="00F24CF1">
        <w:rPr>
          <w:rFonts w:ascii="Times New Roman" w:hAnsi="Times New Roman" w:cs="Times New Roman"/>
        </w:rPr>
        <w:t xml:space="preserve"> и т.д.</w:t>
      </w:r>
      <w:proofErr w:type="gramEnd"/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Действие </w:t>
      </w:r>
      <w:proofErr w:type="spellStart"/>
      <w:r w:rsidRPr="00F24CF1">
        <w:rPr>
          <w:rFonts w:ascii="Times New Roman" w:hAnsi="Times New Roman" w:cs="Times New Roman"/>
        </w:rPr>
        <w:t>парафармацевтиков</w:t>
      </w:r>
      <w:proofErr w:type="spellEnd"/>
      <w:r w:rsidRPr="00F24CF1">
        <w:rPr>
          <w:rFonts w:ascii="Times New Roman" w:hAnsi="Times New Roman" w:cs="Times New Roman"/>
        </w:rPr>
        <w:t xml:space="preserve"> реализуется по следующим направлениям: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регуляция в физиологических границах функциональной активности отдельных органов и систем;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активация систем, участвующих в развитии адаптационных компенсаторно-приспособительных реакций организма;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· регуляция деятельности нервной системы, включая высшую нервную деятельность;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· регуляция </w:t>
      </w:r>
      <w:proofErr w:type="spellStart"/>
      <w:r w:rsidRPr="00F24CF1">
        <w:rPr>
          <w:rFonts w:ascii="Times New Roman" w:hAnsi="Times New Roman" w:cs="Times New Roman"/>
        </w:rPr>
        <w:t>микробиоценоза</w:t>
      </w:r>
      <w:proofErr w:type="spellEnd"/>
      <w:r w:rsidRPr="00F24CF1">
        <w:rPr>
          <w:rFonts w:ascii="Times New Roman" w:hAnsi="Times New Roman" w:cs="Times New Roman"/>
        </w:rPr>
        <w:t xml:space="preserve"> желудочно-кишечного тракта.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Эти свойства </w:t>
      </w:r>
      <w:proofErr w:type="spellStart"/>
      <w:r w:rsidRPr="00F24CF1">
        <w:rPr>
          <w:rFonts w:ascii="Times New Roman" w:hAnsi="Times New Roman" w:cs="Times New Roman"/>
        </w:rPr>
        <w:t>парафармацевтиков</w:t>
      </w:r>
      <w:proofErr w:type="spellEnd"/>
      <w:r w:rsidRPr="00F24CF1">
        <w:rPr>
          <w:rFonts w:ascii="Times New Roman" w:hAnsi="Times New Roman" w:cs="Times New Roman"/>
        </w:rPr>
        <w:t xml:space="preserve"> позволяют адаптировать организм человека к измененным, экстремальным условиям, и обеспечивают проведение дополнительной, вспомогательной терапии различных заболеваний, что качественно расширяет возможности основных методов лечения.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В подавляющем большинстве </w:t>
      </w:r>
      <w:proofErr w:type="spellStart"/>
      <w:r w:rsidRPr="00F24CF1">
        <w:rPr>
          <w:rFonts w:ascii="Times New Roman" w:hAnsi="Times New Roman" w:cs="Times New Roman"/>
        </w:rPr>
        <w:t>парафармацевтики</w:t>
      </w:r>
      <w:proofErr w:type="spellEnd"/>
      <w:r w:rsidRPr="00F24CF1">
        <w:rPr>
          <w:rFonts w:ascii="Times New Roman" w:hAnsi="Times New Roman" w:cs="Times New Roman"/>
        </w:rPr>
        <w:t xml:space="preserve"> </w:t>
      </w:r>
      <w:proofErr w:type="gramStart"/>
      <w:r w:rsidRPr="00F24CF1">
        <w:rPr>
          <w:rFonts w:ascii="Times New Roman" w:hAnsi="Times New Roman" w:cs="Times New Roman"/>
        </w:rPr>
        <w:t>безопасны</w:t>
      </w:r>
      <w:proofErr w:type="gramEnd"/>
      <w:r w:rsidRPr="00F24CF1">
        <w:rPr>
          <w:rFonts w:ascii="Times New Roman" w:hAnsi="Times New Roman" w:cs="Times New Roman"/>
        </w:rPr>
        <w:t xml:space="preserve"> в применении. Они имеют более широкий, чем у лекарств, диапазон доз, при которых оказывают свое нормализующее или корригирующее действие на функции отдельных органов и систем организма человека при значительно более низкой вероятности проявления, в сравнении с лекарственными средствами, токсических и побочных эффектов. Хотя при применении </w:t>
      </w:r>
      <w:proofErr w:type="spellStart"/>
      <w:r w:rsidRPr="00F24CF1">
        <w:rPr>
          <w:rFonts w:ascii="Times New Roman" w:hAnsi="Times New Roman" w:cs="Times New Roman"/>
        </w:rPr>
        <w:t>парафармацевтиков</w:t>
      </w:r>
      <w:proofErr w:type="spellEnd"/>
      <w:r w:rsidRPr="00F24CF1">
        <w:rPr>
          <w:rFonts w:ascii="Times New Roman" w:hAnsi="Times New Roman" w:cs="Times New Roman"/>
        </w:rPr>
        <w:t xml:space="preserve"> не исключены явления индивидуальной непереносимости отдельных их компонентов, что, впрочем, характерно и для некоторых пищевых продуктов и еще более - для лекарственных препаратов.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proofErr w:type="spellStart"/>
      <w:r w:rsidRPr="00F24CF1">
        <w:rPr>
          <w:rFonts w:ascii="Times New Roman" w:hAnsi="Times New Roman" w:cs="Times New Roman"/>
        </w:rPr>
        <w:t>Парафармацевтики</w:t>
      </w:r>
      <w:proofErr w:type="spellEnd"/>
      <w:r w:rsidRPr="00F24CF1">
        <w:rPr>
          <w:rFonts w:ascii="Times New Roman" w:hAnsi="Times New Roman" w:cs="Times New Roman"/>
        </w:rPr>
        <w:t xml:space="preserve"> чаще всего являются источниками природных компонентов пищи, в большинстве случаев, не обладающих питательной ценностью, однако в силу того, что они способны мягко регулировать функции отдельных органов и систем, эти компоненты пищи также следует рассматривать как незаменимые факторы питания. Здесь уместно вернуться к характеристике питания древнего человека. </w:t>
      </w:r>
      <w:proofErr w:type="gramStart"/>
      <w:r w:rsidRPr="00F24CF1">
        <w:rPr>
          <w:rFonts w:ascii="Times New Roman" w:hAnsi="Times New Roman" w:cs="Times New Roman"/>
        </w:rPr>
        <w:t xml:space="preserve">С высокой вероятностью можно полагать, что человек древний с огромным количеством разнообразной растительной и животной пищи получал значительное количество присущих определенным растительным и животным тканям биологически активных веществ, таких как гликозиды, алкалоиды, фенольные соединения, биогенные амины, </w:t>
      </w:r>
      <w:proofErr w:type="spellStart"/>
      <w:r w:rsidRPr="00F24CF1">
        <w:rPr>
          <w:rFonts w:ascii="Times New Roman" w:hAnsi="Times New Roman" w:cs="Times New Roman"/>
        </w:rPr>
        <w:t>олигопептиды</w:t>
      </w:r>
      <w:proofErr w:type="spellEnd"/>
      <w:r w:rsidRPr="00F24CF1">
        <w:rPr>
          <w:rFonts w:ascii="Times New Roman" w:hAnsi="Times New Roman" w:cs="Times New Roman"/>
        </w:rPr>
        <w:t xml:space="preserve">, полисахариды и др., которые либо непосредственно, либо после активации ферментными системами метаболизма </w:t>
      </w:r>
      <w:proofErr w:type="spellStart"/>
      <w:r w:rsidRPr="00F24CF1">
        <w:rPr>
          <w:rFonts w:ascii="Times New Roman" w:hAnsi="Times New Roman" w:cs="Times New Roman"/>
        </w:rPr>
        <w:t>ксенобиотиков</w:t>
      </w:r>
      <w:proofErr w:type="spellEnd"/>
      <w:r w:rsidRPr="00F24CF1">
        <w:rPr>
          <w:rFonts w:ascii="Times New Roman" w:hAnsi="Times New Roman" w:cs="Times New Roman"/>
        </w:rPr>
        <w:t>, либо через системы эндогенной регуляции, взаимодействовали с клетками и органами</w:t>
      </w:r>
      <w:proofErr w:type="gramEnd"/>
      <w:r w:rsidRPr="00F24CF1">
        <w:rPr>
          <w:rFonts w:ascii="Times New Roman" w:hAnsi="Times New Roman" w:cs="Times New Roman"/>
        </w:rPr>
        <w:t xml:space="preserve">, осуществляя тем самым внешнюю регуляцию их функциональной активности. Современные "достижения" пищевой индустрии и изменение структуры питания практически полностью отсекли поток таких экзогенных регуляторов и лишили человека эффективной формы симбиоза с природой. Поэтому широкое применение БАД не только </w:t>
      </w:r>
      <w:proofErr w:type="spellStart"/>
      <w:r w:rsidRPr="00F24CF1">
        <w:rPr>
          <w:rFonts w:ascii="Times New Roman" w:hAnsi="Times New Roman" w:cs="Times New Roman"/>
        </w:rPr>
        <w:t>нутрицевтического</w:t>
      </w:r>
      <w:proofErr w:type="spellEnd"/>
      <w:r w:rsidRPr="00F24CF1">
        <w:rPr>
          <w:rFonts w:ascii="Times New Roman" w:hAnsi="Times New Roman" w:cs="Times New Roman"/>
        </w:rPr>
        <w:t xml:space="preserve">, но и </w:t>
      </w:r>
      <w:proofErr w:type="spellStart"/>
      <w:r w:rsidRPr="00F24CF1">
        <w:rPr>
          <w:rFonts w:ascii="Times New Roman" w:hAnsi="Times New Roman" w:cs="Times New Roman"/>
        </w:rPr>
        <w:t>парафармацевтического</w:t>
      </w:r>
      <w:proofErr w:type="spellEnd"/>
      <w:r w:rsidRPr="00F24CF1">
        <w:rPr>
          <w:rFonts w:ascii="Times New Roman" w:hAnsi="Times New Roman" w:cs="Times New Roman"/>
        </w:rPr>
        <w:t xml:space="preserve"> ряда является попыткой на новом витке спирали развития человечества вновь прийти к гармонии с природой и существенно </w:t>
      </w:r>
      <w:r w:rsidRPr="00F24CF1">
        <w:rPr>
          <w:rFonts w:ascii="Times New Roman" w:hAnsi="Times New Roman" w:cs="Times New Roman"/>
        </w:rPr>
        <w:lastRenderedPageBreak/>
        <w:t xml:space="preserve">расширить свои адаптационные возможности в условиях постоянно нарастающего действия техногенных и социальных </w:t>
      </w:r>
      <w:proofErr w:type="spellStart"/>
      <w:r w:rsidRPr="00F24CF1">
        <w:rPr>
          <w:rFonts w:ascii="Times New Roman" w:hAnsi="Times New Roman" w:cs="Times New Roman"/>
        </w:rPr>
        <w:t>стрессорных</w:t>
      </w:r>
      <w:proofErr w:type="spellEnd"/>
      <w:r w:rsidRPr="00F24CF1">
        <w:rPr>
          <w:rFonts w:ascii="Times New Roman" w:hAnsi="Times New Roman" w:cs="Times New Roman"/>
        </w:rPr>
        <w:t xml:space="preserve"> факторов.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В соответствии с классификацией Госкомсанэпиднадзора РФ (1996) по составу БАД-</w:t>
      </w:r>
      <w:proofErr w:type="spellStart"/>
      <w:r w:rsidRPr="00F24CF1">
        <w:rPr>
          <w:rFonts w:ascii="Times New Roman" w:hAnsi="Times New Roman" w:cs="Times New Roman"/>
        </w:rPr>
        <w:t>парафармацевтики</w:t>
      </w:r>
      <w:proofErr w:type="spellEnd"/>
      <w:r w:rsidRPr="00F24CF1">
        <w:rPr>
          <w:rFonts w:ascii="Times New Roman" w:hAnsi="Times New Roman" w:cs="Times New Roman"/>
        </w:rPr>
        <w:t xml:space="preserve"> делятся на следующие группы: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1. БАД на растительной основе: сухие, жидкие, </w:t>
      </w:r>
      <w:proofErr w:type="spellStart"/>
      <w:r w:rsidRPr="00F24CF1">
        <w:rPr>
          <w:rFonts w:ascii="Times New Roman" w:hAnsi="Times New Roman" w:cs="Times New Roman"/>
        </w:rPr>
        <w:t>таблетированные</w:t>
      </w:r>
      <w:proofErr w:type="spellEnd"/>
      <w:r w:rsidRPr="00F24CF1">
        <w:rPr>
          <w:rFonts w:ascii="Times New Roman" w:hAnsi="Times New Roman" w:cs="Times New Roman"/>
        </w:rPr>
        <w:t>, капсулированные, порошкообразные, смеси высушенных лекарственных растений (чаи).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2. БАД на основе переработки животного сырья: мясомолочного сырья и субпродуктов, рыбы и морепродуктов.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proofErr w:type="spellStart"/>
      <w:r w:rsidRPr="00F24CF1">
        <w:rPr>
          <w:rFonts w:ascii="Times New Roman" w:hAnsi="Times New Roman" w:cs="Times New Roman"/>
          <w:b/>
          <w:bCs/>
        </w:rPr>
        <w:t>Эубиотики</w:t>
      </w:r>
      <w:proofErr w:type="spellEnd"/>
      <w:r w:rsidRPr="00F24CF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F24CF1">
        <w:rPr>
          <w:rFonts w:ascii="Times New Roman" w:hAnsi="Times New Roman" w:cs="Times New Roman"/>
          <w:b/>
          <w:bCs/>
        </w:rPr>
        <w:t>пробиотики</w:t>
      </w:r>
      <w:proofErr w:type="spellEnd"/>
      <w:r w:rsidRPr="00F24CF1">
        <w:rPr>
          <w:rFonts w:ascii="Times New Roman" w:hAnsi="Times New Roman" w:cs="Times New Roman"/>
          <w:b/>
          <w:bCs/>
        </w:rPr>
        <w:t>) </w:t>
      </w:r>
      <w:r w:rsidRPr="00F24CF1">
        <w:rPr>
          <w:rFonts w:ascii="Times New Roman" w:hAnsi="Times New Roman" w:cs="Times New Roman"/>
        </w:rPr>
        <w:t>- биологически активные добавки к пище, в состав которых входят живые микроорганизмы и (или) их метаболиты, оказывающее нормализующее воздействие на состав и биологическую активность микрофлоры пищеварительного тракта.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>В соответствии с классификацией Госкомсанэпиднадзора РФ (1996) по составу БАД-</w:t>
      </w:r>
      <w:proofErr w:type="spellStart"/>
      <w:r w:rsidRPr="00F24CF1">
        <w:rPr>
          <w:rFonts w:ascii="Times New Roman" w:hAnsi="Times New Roman" w:cs="Times New Roman"/>
        </w:rPr>
        <w:t>эубиотики</w:t>
      </w:r>
      <w:proofErr w:type="spellEnd"/>
      <w:r w:rsidRPr="00F24CF1">
        <w:rPr>
          <w:rFonts w:ascii="Times New Roman" w:hAnsi="Times New Roman" w:cs="Times New Roman"/>
        </w:rPr>
        <w:t xml:space="preserve"> делятся на следующие группы: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1. </w:t>
      </w:r>
      <w:proofErr w:type="gramStart"/>
      <w:r w:rsidRPr="00F24CF1">
        <w:rPr>
          <w:rFonts w:ascii="Times New Roman" w:hAnsi="Times New Roman" w:cs="Times New Roman"/>
        </w:rPr>
        <w:t>Бактериальные</w:t>
      </w:r>
      <w:proofErr w:type="gramEnd"/>
      <w:r w:rsidRPr="00F24CF1">
        <w:rPr>
          <w:rFonts w:ascii="Times New Roman" w:hAnsi="Times New Roman" w:cs="Times New Roman"/>
        </w:rPr>
        <w:t xml:space="preserve"> препараты-</w:t>
      </w:r>
      <w:proofErr w:type="spellStart"/>
      <w:r w:rsidRPr="00F24CF1">
        <w:rPr>
          <w:rFonts w:ascii="Times New Roman" w:hAnsi="Times New Roman" w:cs="Times New Roman"/>
        </w:rPr>
        <w:t>эубиотики</w:t>
      </w:r>
      <w:proofErr w:type="spellEnd"/>
      <w:r w:rsidRPr="00F24CF1">
        <w:rPr>
          <w:rFonts w:ascii="Times New Roman" w:hAnsi="Times New Roman" w:cs="Times New Roman"/>
        </w:rPr>
        <w:t xml:space="preserve"> на основе чистых культур микроорганизмов.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2. </w:t>
      </w:r>
      <w:proofErr w:type="gramStart"/>
      <w:r w:rsidRPr="00F24CF1">
        <w:rPr>
          <w:rFonts w:ascii="Times New Roman" w:hAnsi="Times New Roman" w:cs="Times New Roman"/>
        </w:rPr>
        <w:t>Бактериальные</w:t>
      </w:r>
      <w:proofErr w:type="gramEnd"/>
      <w:r w:rsidRPr="00F24CF1">
        <w:rPr>
          <w:rFonts w:ascii="Times New Roman" w:hAnsi="Times New Roman" w:cs="Times New Roman"/>
        </w:rPr>
        <w:t xml:space="preserve"> препараты-</w:t>
      </w:r>
      <w:proofErr w:type="spellStart"/>
      <w:r w:rsidRPr="00F24CF1">
        <w:rPr>
          <w:rFonts w:ascii="Times New Roman" w:hAnsi="Times New Roman" w:cs="Times New Roman"/>
        </w:rPr>
        <w:t>эубиотики</w:t>
      </w:r>
      <w:proofErr w:type="spellEnd"/>
      <w:r w:rsidRPr="00F24CF1">
        <w:rPr>
          <w:rFonts w:ascii="Times New Roman" w:hAnsi="Times New Roman" w:cs="Times New Roman"/>
        </w:rPr>
        <w:t xml:space="preserve"> смешанного состава с добавлением аминокислот, микроэлементов, моно- и дисахаридов и т. д.</w:t>
      </w:r>
    </w:p>
    <w:p w:rsidR="00E05637" w:rsidRPr="00F24CF1" w:rsidRDefault="00E05637" w:rsidP="00F24CF1">
      <w:pPr>
        <w:ind w:left="720"/>
        <w:rPr>
          <w:rFonts w:ascii="Times New Roman" w:hAnsi="Times New Roman" w:cs="Times New Roman"/>
        </w:rPr>
      </w:pPr>
      <w:r w:rsidRPr="00F24CF1">
        <w:rPr>
          <w:rFonts w:ascii="Times New Roman" w:hAnsi="Times New Roman" w:cs="Times New Roman"/>
        </w:rPr>
        <w:t xml:space="preserve">Некоторые авторы относят </w:t>
      </w:r>
      <w:proofErr w:type="spellStart"/>
      <w:r w:rsidRPr="00F24CF1">
        <w:rPr>
          <w:rFonts w:ascii="Times New Roman" w:hAnsi="Times New Roman" w:cs="Times New Roman"/>
        </w:rPr>
        <w:t>эубиотики</w:t>
      </w:r>
      <w:proofErr w:type="spellEnd"/>
      <w:r w:rsidRPr="00F24CF1">
        <w:rPr>
          <w:rFonts w:ascii="Times New Roman" w:hAnsi="Times New Roman" w:cs="Times New Roman"/>
        </w:rPr>
        <w:t xml:space="preserve"> к </w:t>
      </w:r>
      <w:proofErr w:type="spellStart"/>
      <w:r w:rsidRPr="00F24CF1">
        <w:rPr>
          <w:rFonts w:ascii="Times New Roman" w:hAnsi="Times New Roman" w:cs="Times New Roman"/>
        </w:rPr>
        <w:t>парафармацевтикам</w:t>
      </w:r>
      <w:proofErr w:type="spellEnd"/>
    </w:p>
    <w:p w:rsidR="00E05637" w:rsidRPr="00F24CF1" w:rsidRDefault="00E05637" w:rsidP="00E05637">
      <w:pPr>
        <w:ind w:left="720"/>
        <w:rPr>
          <w:rFonts w:ascii="Times New Roman" w:hAnsi="Times New Roman" w:cs="Times New Roman"/>
        </w:rPr>
      </w:pPr>
    </w:p>
    <w:p w:rsidR="00C53BBE" w:rsidRPr="00F24CF1" w:rsidRDefault="00C53BBE">
      <w:pPr>
        <w:rPr>
          <w:rFonts w:ascii="Times New Roman" w:hAnsi="Times New Roman" w:cs="Times New Roman"/>
        </w:rPr>
      </w:pPr>
    </w:p>
    <w:sectPr w:rsidR="00C53BBE" w:rsidRPr="00F2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0100"/>
    <w:multiLevelType w:val="multilevel"/>
    <w:tmpl w:val="2950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B1CC3"/>
    <w:multiLevelType w:val="multilevel"/>
    <w:tmpl w:val="2CB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15585"/>
    <w:multiLevelType w:val="multilevel"/>
    <w:tmpl w:val="12B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F36FA"/>
    <w:multiLevelType w:val="multilevel"/>
    <w:tmpl w:val="A50C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F00AC"/>
    <w:multiLevelType w:val="multilevel"/>
    <w:tmpl w:val="EE48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82CBD"/>
    <w:multiLevelType w:val="multilevel"/>
    <w:tmpl w:val="38D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37"/>
    <w:rsid w:val="0006342C"/>
    <w:rsid w:val="001862E4"/>
    <w:rsid w:val="00C53BBE"/>
    <w:rsid w:val="00E05637"/>
    <w:rsid w:val="00F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37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265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2126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2020-03-24T18:33:00Z</dcterms:created>
  <dcterms:modified xsi:type="dcterms:W3CDTF">2020-03-24T20:12:00Z</dcterms:modified>
</cp:coreProperties>
</file>