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6C" w:rsidRDefault="0065136C" w:rsidP="0065136C">
      <w:pPr>
        <w:spacing w:after="96" w:line="240" w:lineRule="auto"/>
        <w:jc w:val="center"/>
        <w:outlineLvl w:val="0"/>
        <w:rPr>
          <w:rFonts w:ascii="Georgia" w:eastAsia="Times New Roman" w:hAnsi="Georgia" w:cs="Times New Roman"/>
          <w:kern w:val="36"/>
          <w:sz w:val="46"/>
          <w:szCs w:val="46"/>
        </w:rPr>
      </w:pPr>
      <w:r>
        <w:rPr>
          <w:rFonts w:ascii="Georgia" w:eastAsia="Times New Roman" w:hAnsi="Georgia" w:cs="Times New Roman"/>
          <w:kern w:val="36"/>
          <w:sz w:val="46"/>
          <w:szCs w:val="46"/>
        </w:rPr>
        <w:t>7.04.2020</w:t>
      </w:r>
    </w:p>
    <w:p w:rsidR="0065136C" w:rsidRPr="0065136C" w:rsidRDefault="0065136C" w:rsidP="0065136C">
      <w:pPr>
        <w:spacing w:after="96" w:line="240" w:lineRule="auto"/>
        <w:jc w:val="center"/>
        <w:outlineLvl w:val="0"/>
        <w:rPr>
          <w:rFonts w:ascii="Georgia" w:eastAsia="Times New Roman" w:hAnsi="Georgia" w:cs="Times New Roman"/>
          <w:kern w:val="36"/>
          <w:sz w:val="46"/>
          <w:szCs w:val="46"/>
        </w:rPr>
      </w:pPr>
      <w:r w:rsidRPr="0065136C">
        <w:rPr>
          <w:rFonts w:ascii="Georgia" w:eastAsia="Times New Roman" w:hAnsi="Georgia" w:cs="Times New Roman"/>
          <w:kern w:val="36"/>
          <w:sz w:val="46"/>
          <w:szCs w:val="46"/>
        </w:rPr>
        <w:t>Священство и царство</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Священство и царство</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Никон покинул Кремль, но тень его продолжала нависать над участниками церковного собора. Осталось «наследие» Никона, обойти которое не было никакой возможности. Как же следовало выстраивать после всего происшедшего отношения между «царством» и «священством»? Очень скоро выяснилось, что многие члены собора мечтают о поправлении нарушенный симфонии. Иными словами, они не далеко ушли от низвергнутого Никона! Неутомимые гонители патриарха, Крутицкий митрополит Павел и Рязанский архиепископ Иларион отказались подписывать соборное осуждение из-за неприемлемой для них формулы о соотношении церковной и светской властей. Удар был тем более чувствительный, что царь сам двигал Павла, жесткость и решительность которого сочеталась с образованностью и знанием польского и латинского языков.</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Павел и Иларион всесоборно объявили, что «степень священства выше степени царского». Мотив был слишком знакомый, чтобы не понять, откуда дует ветер. Так было еще раз подтверждено, что никоновский «бунт» был не просто бунтом одиночки: неудовольствие испытывали многие представители высшей церковной иерархии, готовой биться за дело Никона… без Никона. Вполне возможно, что их планы не простирались так далеко, как теократические поползновения бывшего патриарха, но зато они были определеннее: архиереи резко выступали против вмешательства в епархиальные дела светской власти.</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 xml:space="preserve">В этот драматический момент и выяснилось, что не напрасно Алексей Михайлович привечал греков. </w:t>
      </w:r>
      <w:r w:rsidRPr="0065136C">
        <w:rPr>
          <w:rFonts w:ascii="Georgia" w:eastAsia="Times New Roman" w:hAnsi="Georgia" w:cs="Times New Roman"/>
          <w:color w:val="444444"/>
          <w:sz w:val="34"/>
          <w:szCs w:val="34"/>
        </w:rPr>
        <w:lastRenderedPageBreak/>
        <w:t>Последние были равнодушны к кровным интересам русских архиереев, не говоря уже о том, что выстраивали свои взаимоотношения с царской властью на иных началах. Потому оба восточных патриарха, под одобрительные голоса остальных греков, обвинили русских «князей церкви» в цезарепапизме и своим авторитетом помогли задавить новый бунт еще в зародыше.</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Как обычно, особенно витийствовал Паисий Лигарид, поставивший своей изощренной казуистикой в неловкое положение даже самого Алексея Михайловича. В прежние времена, заявил он, архиереи были «златые по нравам, хотя служили на деревянных дисках и потирах»; ныне же епископы поведением не крепки, хотя и совершают таинства «в сосудах златых и преукрашенных». Конечно, были бы прежние святители, и тогда он, Паисий, предпочел бы их «всякому Кесарю и Августу, над землей начальствующим». Но таких нет. Оттого «царю надлежит казаться и быть выше других», соединяя в своем лице «власть государя и архиерея».</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Для Паисия таковым идеальным православным государем был Алексей Михайлович. Верный своему правилу льстить без меры, «истолкователь правил» витийствовал по поводу Тишайшего: «Поистине наш державнейший царь, государь Алексей Михайлович, столь сведущ в делах церковных, что можно подумать будто целую жизнь был архиереем… Ты, Богом почтенный царю Алексие, воистину человек Божий… Вы боитесь будущего (выпад по адресу русских епископов. — </w:t>
      </w:r>
      <w:r w:rsidRPr="0065136C">
        <w:rPr>
          <w:rFonts w:ascii="Georgia" w:eastAsia="Times New Roman" w:hAnsi="Georgia" w:cs="Times New Roman"/>
          <w:i/>
          <w:iCs/>
          <w:color w:val="444444"/>
          <w:sz w:val="34"/>
        </w:rPr>
        <w:t>И.А.</w:t>
      </w:r>
      <w:r w:rsidRPr="0065136C">
        <w:rPr>
          <w:rFonts w:ascii="Georgia" w:eastAsia="Times New Roman" w:hAnsi="Georgia" w:cs="Times New Roman"/>
          <w:color w:val="444444"/>
          <w:sz w:val="34"/>
          <w:szCs w:val="34"/>
        </w:rPr>
        <w:t>), чтобы какой-нибудь новый государь, сделавшись самовластным… не поработил бы церковь российскую. Нет, нет! У доброго царя будет еще добрее сын его наследник. Он будет попечителем о вас. Наречется новым Константином, будет царь и вместе архиерей…»</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lastRenderedPageBreak/>
        <w:t>Остается загадкой, насколько были приятны льстивые речи Лигарида слуху Тишайшего. Но то, что они во многом расходились с русской традицией, несомненно. Царь предпочитал найти более приемлемую формулу и избежать конфликта с епископатом. Конфликт, впрочем, не нужен был никому. Дело Никона и без того сильно пошатнуло авторитет церкви. Обе стороны — власть светская и власть духовная — нуждались в стабильности и искали компромисс.</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Алексей Михайлович сам вынес на Собор вопрос о взаимоотношении светской и церковной властей. В январе 1667 года было объявлено, что царь имеет преимущество в делах гражданских, а патриарх — в церковных. Сотрудничество же, то есть симфония «христолюбивых царей и благочестивых архиереев, составляет единую силу, когда дела управляются с миром, любовию». Так была определена или, точнее, подтверждена линия размежевания компетенции царя и патриарха. В загодя приготовленном ответе патриархов эта формула получила более полное толкование, вполне устраивавшее самодержавного монарха. «Царю убо быти совершенна Господа и единого быти законодавца всех дел гражданских. Патриарха же быти послушлива царю, яко поставленному на высочайшем достоинстве и отмстителю Божию…»[339]</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Согласно источнику, торжественно провозглашенная формула нашла у участников Собора всеобщее одобрение: «Все воскликнули: сие есть мнение богоносных отец! Так мыслим все!»</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 xml:space="preserve">Этикетная формулировка скрыла от нас подлинное настроение русских иерархов. Должно быть, далеко не все из них были удовлетворены подобной «реставрацией» знаменитой симфонии. Тот же Иларион Рязанский и Павел Крутицкий продолжали жаловаться на засилье светской власти, из-за чего их пришлось соборно смирять </w:t>
      </w:r>
      <w:r w:rsidRPr="0065136C">
        <w:rPr>
          <w:rFonts w:ascii="Georgia" w:eastAsia="Times New Roman" w:hAnsi="Georgia" w:cs="Times New Roman"/>
          <w:color w:val="444444"/>
          <w:sz w:val="34"/>
          <w:szCs w:val="34"/>
        </w:rPr>
        <w:lastRenderedPageBreak/>
        <w:t>— обвинить в том, что они «никонствуют и папствуют», и наложить епитимью. По этому поводу Паисий Лигарид заметил, что прочие русские иерархи, отвыкшие повиноваться, «пришли в страх от сего неожиданного наказания».</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Тем не менее, опираясь на решение Собора, русский епископат упрочил свои позиции. Было объявлено об упразднении Монастырского приказа, а с ним и института светских архиерейских чиновников, сильно тяготивших своей опекой высшее духовенство. А ведь Монастырский приказ был не просто проявлением новой церковной политики светской власти, но символом изменившейся государственной идеологии! Таким образом, буря, поднятая Никоном, не прошла даром. «Наступление» светской власти на позиции церкви и священства было частично приостановлено. Но только частично! Чего стоит, например, такая характерная деталь: последний Поместный собор чаще проходил в царской Столовой палате, чем в Патриаршей!</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 xml:space="preserve">С низложением Никона можно было наконец поставить точку в затянувшейся истории с «сиротством» русской церкви. Хлебнув лиха со строптивым «собинным другом», Алексей Михайлович на этот раз совершенно определенно мог ответить, какой патриарх ему был нужен. Прежде всего покладистый и «недерзновенный», у которого не могло бы появиться и мысли вступаться в мирские дела. При этом новый владыка должен был навести порядок в церкви, унять раскольников и собственных архиереев, успевших привыкнуть за годы «бесчинного безначалия» к известной свободе. Здесь, впрочем, Алексей Михайлович оказывался в ситуации трудноразрешимой. Обуздать пораспустившихся епископов, которые стали называть себя «великими государями» и «свободными архиереями», мог лишь сильный владыка. Но сила и напор редко уживаются с «недерзновенностью». Между тем «бунт» Илариона и </w:t>
      </w:r>
      <w:r w:rsidRPr="0065136C">
        <w:rPr>
          <w:rFonts w:ascii="Georgia" w:eastAsia="Times New Roman" w:hAnsi="Georgia" w:cs="Times New Roman"/>
          <w:color w:val="444444"/>
          <w:sz w:val="34"/>
          <w:szCs w:val="34"/>
        </w:rPr>
        <w:lastRenderedPageBreak/>
        <w:t>Павла, которые вздумали, по определению Лигарида, «папствовать и никонианствовать», свидетельствовал, сколь упрямо держатся за свои права отечественные епископы.</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Может быть, именно поэтому в числе кандидатов на патриарший престол на этот раз не оказалось ни одного епископа. Царь предпочел искать «недерзновенного», сговорчивого патриарха среди архимандритов и игуменов, не успевших проникнуться корпоративным духом «князей церкви». Выбор пал на архимандрита Троице-Сергиевского монастыря Иоасафа (1667–1672). Общение с ним позволяло надеяться, что он будет чутко прислушиваться к тому, о чем говорят в царских теремах, и уж тем более не станет выкидывать экстравагантные поступки по образу своего предшественника. Забегая вперед, скажем, что Иоасаф II вполне оправдал возлагаемые на него надежды. Времена бесконечных столкновений с архипастырем отошли в прошлое. Зато новые книги, обрядовые и литургические новшества стали утверждаться в повседневной церковной жизни. Ослушников при Иоасафе наказывали строго и, не в пример Никону, последовательно, без прежнего надрыва и бесконечных перепадов в настроении.</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Избранный без промедления и без каких-либо затруднений на том же соборе, новый патриарх продолжил исправление и издание богослужебных книг. При нем Печатный двор выпустил Большой и Малый Катехизисы, Триодь цветную и Триодь постную. Благодаря этому перемены в церкви утрачивали характер новин. Тишайший, для которого церковная реформа стала кровным делом, мог, кажется, впервые за долгие годы перевести дух.</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 xml:space="preserve">Между патриархом и царем установились ровные отношения. Они, конечно, были лишены той задушевности, которая существовала между Никоном и </w:t>
      </w:r>
      <w:r w:rsidRPr="0065136C">
        <w:rPr>
          <w:rFonts w:ascii="Georgia" w:eastAsia="Times New Roman" w:hAnsi="Georgia" w:cs="Times New Roman"/>
          <w:color w:val="444444"/>
          <w:sz w:val="34"/>
          <w:szCs w:val="34"/>
        </w:rPr>
        <w:lastRenderedPageBreak/>
        <w:t>Алексеем Михайловичем в конце 40-х — первой половине 50-х годов. Причем не только потому, что Тишайший, раз ожегшись, теперь готов был дуть на ледяную воду. Просто повзрослевший царь смотрел на все другими глазами и не искал с прежним рвением, к кому бы «прислониться». Иоасаф же был человеком старого закала и жил в традициях русской церковности, сторонившейся мирской суеты.</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Зато царь по-прежнему продолжал активно соучаствовать в делах церкви. Правда, это участие во многом утратило ту, отчасти вынужденную прямизну, которая вызывала такое бурное негодование у Никона. Однако это вовсе не означало возвращение к дониконовским временам. Происшедшее уже нельзя было предать забвению: все знали, что случается с теми, кто противится царской воле. Собранный по инициативе царя Собор запустил «механизм» укрощения высшего пастыря, причем не так, как это случалось прежде — насильственным низложением и небрежением над уставами, а подчеркнуто законно. А это означало, что в глазах большинства право и нравственность не расходились друг с другом.</w:t>
      </w:r>
    </w:p>
    <w:p w:rsidR="0065136C" w:rsidRPr="0065136C" w:rsidRDefault="0065136C" w:rsidP="0065136C">
      <w:pPr>
        <w:spacing w:before="288" w:after="288" w:line="240" w:lineRule="auto"/>
        <w:rPr>
          <w:rFonts w:ascii="Georgia" w:eastAsia="Times New Roman" w:hAnsi="Georgia" w:cs="Times New Roman"/>
          <w:color w:val="444444"/>
          <w:sz w:val="34"/>
          <w:szCs w:val="34"/>
        </w:rPr>
      </w:pPr>
      <w:r w:rsidRPr="0065136C">
        <w:rPr>
          <w:rFonts w:ascii="Georgia" w:eastAsia="Times New Roman" w:hAnsi="Georgia" w:cs="Times New Roman"/>
          <w:color w:val="444444"/>
          <w:sz w:val="34"/>
          <w:szCs w:val="34"/>
        </w:rPr>
        <w:t>Но личный опыт иерархов — лишь одна сторона дела. Раскол, помимо воли инициаторов реформ, ослабил церковь. После 1667 года она, как никогда прежде, нуждалась в поддержке государства. Слово слишком плохо смиряло церковных «супротивников». Да и сами расколоучителя владели им ничуть не хуже своих оппонентов, отчего полная сочувствия к гонимым толпа с готовностью внимала им. Поневоле приходилось прибегать к помощи власти. Алексей Михайлович оказывал ее вполне бескорыстно, видя в том свою обязанность. Но в том-то и дело, что это бескорыстие все равно оборачивалось растущей зависимостью церкви от самодержавного государства. И никакие постановления Соборов с этим ничего поделать не могли.</w:t>
      </w:r>
    </w:p>
    <w:p w:rsidR="00510B12" w:rsidRPr="0011240A" w:rsidRDefault="00510B12">
      <w:pPr>
        <w:rPr>
          <w:sz w:val="32"/>
          <w:szCs w:val="32"/>
        </w:rPr>
      </w:pPr>
    </w:p>
    <w:sectPr w:rsidR="00510B12" w:rsidRPr="0011240A" w:rsidSect="004417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241"/>
    <w:multiLevelType w:val="multilevel"/>
    <w:tmpl w:val="E36C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00ACE"/>
    <w:multiLevelType w:val="multilevel"/>
    <w:tmpl w:val="6B70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B6D80"/>
    <w:multiLevelType w:val="multilevel"/>
    <w:tmpl w:val="471C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425B1"/>
    <w:multiLevelType w:val="multilevel"/>
    <w:tmpl w:val="4E3A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A20E7F"/>
    <w:multiLevelType w:val="multilevel"/>
    <w:tmpl w:val="C206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02D89"/>
    <w:multiLevelType w:val="multilevel"/>
    <w:tmpl w:val="5CE6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C1CAB"/>
    <w:multiLevelType w:val="multilevel"/>
    <w:tmpl w:val="E752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0021E"/>
    <w:multiLevelType w:val="multilevel"/>
    <w:tmpl w:val="CE20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2E5937"/>
    <w:multiLevelType w:val="multilevel"/>
    <w:tmpl w:val="B9F8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BD1303"/>
    <w:multiLevelType w:val="multilevel"/>
    <w:tmpl w:val="2C4A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E443AE"/>
    <w:multiLevelType w:val="multilevel"/>
    <w:tmpl w:val="698E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FC028C"/>
    <w:multiLevelType w:val="multilevel"/>
    <w:tmpl w:val="DCC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5D0D84"/>
    <w:multiLevelType w:val="multilevel"/>
    <w:tmpl w:val="7D4EA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6F4DFC"/>
    <w:multiLevelType w:val="multilevel"/>
    <w:tmpl w:val="140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41708F"/>
    <w:multiLevelType w:val="multilevel"/>
    <w:tmpl w:val="C4F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9B2B30"/>
    <w:multiLevelType w:val="multilevel"/>
    <w:tmpl w:val="1D78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1"/>
  </w:num>
  <w:num w:numId="4">
    <w:abstractNumId w:val="0"/>
  </w:num>
  <w:num w:numId="5">
    <w:abstractNumId w:val="14"/>
  </w:num>
  <w:num w:numId="6">
    <w:abstractNumId w:val="7"/>
  </w:num>
  <w:num w:numId="7">
    <w:abstractNumId w:val="10"/>
  </w:num>
  <w:num w:numId="8">
    <w:abstractNumId w:val="13"/>
  </w:num>
  <w:num w:numId="9">
    <w:abstractNumId w:val="4"/>
  </w:num>
  <w:num w:numId="10">
    <w:abstractNumId w:val="1"/>
  </w:num>
  <w:num w:numId="11">
    <w:abstractNumId w:val="15"/>
  </w:num>
  <w:num w:numId="12">
    <w:abstractNumId w:val="6"/>
  </w:num>
  <w:num w:numId="13">
    <w:abstractNumId w:val="8"/>
  </w:num>
  <w:num w:numId="14">
    <w:abstractNumId w:val="2"/>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CF5EFF"/>
    <w:rsid w:val="0011240A"/>
    <w:rsid w:val="00510B12"/>
    <w:rsid w:val="0065136C"/>
    <w:rsid w:val="009D64F3"/>
    <w:rsid w:val="00CF5EFF"/>
    <w:rsid w:val="00E41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B18"/>
  </w:style>
  <w:style w:type="paragraph" w:styleId="1">
    <w:name w:val="heading 1"/>
    <w:basedOn w:val="a"/>
    <w:link w:val="10"/>
    <w:uiPriority w:val="9"/>
    <w:qFormat/>
    <w:rsid w:val="006513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5136C"/>
    <w:rPr>
      <w:rFonts w:ascii="Times New Roman" w:eastAsia="Times New Roman" w:hAnsi="Times New Roman" w:cs="Times New Roman"/>
      <w:b/>
      <w:bCs/>
      <w:kern w:val="36"/>
      <w:sz w:val="48"/>
      <w:szCs w:val="48"/>
    </w:rPr>
  </w:style>
  <w:style w:type="paragraph" w:customStyle="1" w:styleId="p">
    <w:name w:val="p"/>
    <w:basedOn w:val="a"/>
    <w:rsid w:val="0065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6513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5136C"/>
    <w:rPr>
      <w:i/>
      <w:iCs/>
    </w:rPr>
  </w:style>
</w:styles>
</file>

<file path=word/webSettings.xml><?xml version="1.0" encoding="utf-8"?>
<w:webSettings xmlns:r="http://schemas.openxmlformats.org/officeDocument/2006/relationships" xmlns:w="http://schemas.openxmlformats.org/wordprocessingml/2006/main">
  <w:divs>
    <w:div w:id="125785185">
      <w:bodyDiv w:val="1"/>
      <w:marLeft w:val="0"/>
      <w:marRight w:val="0"/>
      <w:marTop w:val="0"/>
      <w:marBottom w:val="0"/>
      <w:divBdr>
        <w:top w:val="none" w:sz="0" w:space="0" w:color="auto"/>
        <w:left w:val="none" w:sz="0" w:space="0" w:color="auto"/>
        <w:bottom w:val="none" w:sz="0" w:space="0" w:color="auto"/>
        <w:right w:val="none" w:sz="0" w:space="0" w:color="auto"/>
      </w:divBdr>
    </w:div>
    <w:div w:id="1800340202">
      <w:bodyDiv w:val="1"/>
      <w:marLeft w:val="0"/>
      <w:marRight w:val="0"/>
      <w:marTop w:val="0"/>
      <w:marBottom w:val="0"/>
      <w:divBdr>
        <w:top w:val="none" w:sz="0" w:space="0" w:color="auto"/>
        <w:left w:val="none" w:sz="0" w:space="0" w:color="auto"/>
        <w:bottom w:val="none" w:sz="0" w:space="0" w:color="auto"/>
        <w:right w:val="none" w:sz="0" w:space="0" w:color="auto"/>
      </w:divBdr>
      <w:divsChild>
        <w:div w:id="1615941206">
          <w:marLeft w:val="0"/>
          <w:marRight w:val="0"/>
          <w:marTop w:val="0"/>
          <w:marBottom w:val="0"/>
          <w:divBdr>
            <w:top w:val="none" w:sz="0" w:space="0" w:color="auto"/>
            <w:left w:val="none" w:sz="0" w:space="0" w:color="auto"/>
            <w:bottom w:val="none" w:sz="0" w:space="0" w:color="auto"/>
            <w:right w:val="none" w:sz="0" w:space="0" w:color="auto"/>
          </w:divBdr>
          <w:divsChild>
            <w:div w:id="1973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1484</Words>
  <Characters>8464</Characters>
  <Application>Microsoft Office Word</Application>
  <DocSecurity>0</DocSecurity>
  <Lines>70</Lines>
  <Paragraphs>19</Paragraphs>
  <ScaleCrop>false</ScaleCrop>
  <Company>Microsoft</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2020-03-23T09:04:00Z</dcterms:created>
  <dcterms:modified xsi:type="dcterms:W3CDTF">2020-03-23T09:32:00Z</dcterms:modified>
</cp:coreProperties>
</file>